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318</w:t>
      </w:r>
    </w:p>
    <w:p>
      <w:r>
        <w:t>BE Obergericht, DE</w:t>
      </w:r>
    </w:p>
    <w:p>
      <w:r>
        <w:rPr>
          <w:b/>
        </w:rPr>
        <w:t xml:space="preserve">Quelle: </w:t>
      </w:r>
      <w:r>
        <w:t>https://mcp.opencaselaw.ch/entscheid/be_zivilstraf_BK 2025 318</w:t>
      </w:r>
    </w:p>
    <w:p>
      <w:pPr>
        <w:pStyle w:val="Heading2"/>
      </w:pPr>
      <w:r>
        <w:t>Erwägungen</w:t>
      </w:r>
    </w:p>
    <w:p>
      <w:r>
        <w:rPr>
          <w:b/>
        </w:rPr>
        <w:t>E. 1.1</w:t>
      </w:r>
    </w:p>
    <w:p>
      <w:r>
        <w:t>Mit Verfügung BA 22 1242 vom 30. Mai 2025 stellte die Staatsanwaltschaft für Be- sondere Aufgaben des Kantons Bern (nachfolgend: Staatsanwaltschaft) das Straf- verfahren gegen Unbekannt wegen fahrlässiger schwerer Körperverletzung z.N. M.________ (Strafklägerin/Beschwerdeführerin, nachfolgend: Beschwerdeführerin) ein. Es wurde zudem festgestellt, dass die Beschwerdeführerin nicht zur Zivilklage legitimiert ist und ihr lediglich die Stellung einer Strafklägerin zukommt, weswegen die Haftungsklage auf den verwaltungsrechtlichen Weg verwiesen wurde. Neben weiteren Feststellungen und der Abweisung von Anträgen der Beschwerdeführerin wurde verfügt, dass gegen die beschuldigten Personen A.________ (nachfolgend: Beschuldigter 2), C.________ (nachfolgend: Beschuldigter 3), D.________ (nach- folgend: Beschuldigte 4), E.________ (nachfolgend: Beschuldigter 5), G.________ (nachfolgend: Beschuldigter 6), H.________, (nachfolgend: Beschuldigter 7), I.________ (nachfolgend: Beschuldigter 8), J.________ (nachfolgend: Beschuldigte 9), K.________ (nachfolgend: Beschuldigte 10) und L.________ (nachfolgend: Be- schuldigter 11) betreffend mehrfache (eventual-)vorsätzliche, evtl. fahrlässige Ver- letzung der heilmittelrechtlichen Sorgfaltspflichten (Art. 86 Abs. 1 Bst. a und Abs. 2 Bst. a Bundesgesetz über Arzneimittel und Medizinprodukte [HMG; SR 812.21]; evtl. Abs. 4), mehrfache (eventual-)vorsätzliche, evtl. fahrlässige Verletzung der heilmittelrechtlichen Meldepflichten (Art. 87 Abs. 1 Bst. c HMG; evtl. Abs. 3), mehr- fache (eventual-)vorsätzliche, evtl. fahrlässige Verletzung des heilmittelrechtlichen Werbeverbots (Art. 87 Abs. 1 Bst. b HMG; evtl. Abs. 3), mehrfache (eventual- )vorsätzliche Tötung, evtl. Mord, evtl. fahrlässige Tötung (Art. 111 StGB, evtl. Art. 112 StGB, evtl. Art. 117 StGB), mehrfachen strafbaren (eventual-)vorsätzlichen Schwangerschaftsabbruch (Art. 118 Abs. 2 StGB), mehrfache, schwere (eventual- )vorsätzliche, evtl. qualifizierte einfache Körperverletzung, namentlich durch Ein- satz von mRNA-Impfstoffen als Gift (Art. 123 Ziff. 2 Abs. 2 aStGB), evtl. fahrlässige einfache oder schwere Körperverletzung (Art. 122 StGB; evtl. Art. 125 Abs. 1 oder 2 StGB), mehrfache Gefährdung des Lebens (Art. 129 StGB), mehrfache (eventual-)vorsätzliche, evtl. fahrlässige Gefährdung durch gentechnisch veränder- te oder pathogene Organismen (Art. 230bis Abs. 1, evtl. Abs. 2 StGB), strafbare Vorbereitungshandlungen nach Art. 260bis Abs. 1 Bst. a-c StGB und mehrfache (eventual-)vorsätzliche, evtl. fahrlässige Urkundenfälschung im Amt (Art. 317 Ziff. 1, evtl. Ziff. 2 StGB) kein Verfahren an die Hand genommen wird. Des Weite- ren wurde bestimmt, dass der Kanton die Verfahrenskosten trägt und keine Ent- schädigungen oder Genugtuungen ausgerichtet werden.</w:t>
      </w:r>
    </w:p>
    <w:p>
      <w:r>
        <w:rPr>
          <w:b/>
        </w:rPr>
        <w:t>E. 1.2</w:t>
      </w:r>
    </w:p>
    <w:p>
      <w:r>
        <w:t>Dagegen erhob die Beschwerdeführerin, vertreten durch Rechtsanwalt N.________, am 3. Juli 2025 bei der Beschwerdekammer in Strafsachen des Obergerichts des Kantons Bern (nachfolgend: Beschwerdekammer) Beschwerde und stellte unter Kosten- und Entschädigungsfolge nachstehende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